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3285845</wp:posOffset>
            </wp:positionH>
            <wp:positionV relativeFrom="page">
              <wp:posOffset>142240</wp:posOffset>
            </wp:positionV>
            <wp:extent cx="972110" cy="965657"/>
            <wp:effectExtent l="0" t="0" r="0" b="0"/>
            <wp:wrapThrough wrapText="bothSides" distL="152400" distR="152400">
              <wp:wrapPolygon edited="1">
                <wp:start x="10420" y="170"/>
                <wp:lineTo x="12192" y="255"/>
                <wp:lineTo x="13795" y="595"/>
                <wp:lineTo x="15251" y="1147"/>
                <wp:lineTo x="16643" y="1932"/>
                <wp:lineTo x="17845" y="2867"/>
                <wp:lineTo x="18900" y="3950"/>
                <wp:lineTo x="19786" y="5181"/>
                <wp:lineTo x="20503" y="6540"/>
                <wp:lineTo x="21030" y="8069"/>
                <wp:lineTo x="21326" y="9683"/>
                <wp:lineTo x="21326" y="11913"/>
                <wp:lineTo x="21030" y="13548"/>
                <wp:lineTo x="20524" y="15013"/>
                <wp:lineTo x="19807" y="16393"/>
                <wp:lineTo x="18942" y="17604"/>
                <wp:lineTo x="17782" y="18814"/>
                <wp:lineTo x="16580" y="19727"/>
                <wp:lineTo x="15166" y="20513"/>
                <wp:lineTo x="13648" y="21065"/>
                <wp:lineTo x="12192" y="21362"/>
                <wp:lineTo x="10462" y="21447"/>
                <wp:lineTo x="8775" y="21256"/>
                <wp:lineTo x="7235" y="20831"/>
                <wp:lineTo x="5822" y="20194"/>
                <wp:lineTo x="4556" y="19387"/>
                <wp:lineTo x="3459" y="18453"/>
                <wp:lineTo x="2510" y="17412"/>
                <wp:lineTo x="1666" y="16160"/>
                <wp:lineTo x="991" y="14779"/>
                <wp:lineTo x="527" y="13314"/>
                <wp:lineTo x="274" y="11764"/>
                <wp:lineTo x="295" y="9641"/>
                <wp:lineTo x="612" y="7963"/>
                <wp:lineTo x="1139" y="6498"/>
                <wp:lineTo x="1835" y="5181"/>
                <wp:lineTo x="2721" y="3950"/>
                <wp:lineTo x="3902" y="2739"/>
                <wp:lineTo x="5126" y="1826"/>
                <wp:lineTo x="6497" y="1083"/>
                <wp:lineTo x="8037" y="531"/>
                <wp:lineTo x="9577" y="234"/>
                <wp:lineTo x="10420" y="170"/>
              </wp:wrapPolygon>
            </wp:wrapThrough>
            <wp:docPr id="1073741825" name="officeArt object" descr="Kingitud Elu logo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gitud Elu logo-15.png" descr="Kingitud Elu logo-15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10" cy="965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 w:line="240" w:lineRule="auto"/>
        <w:jc w:val="center"/>
        <w:rPr>
          <w:rFonts w:ascii="Arial" w:hAnsi="Arial"/>
          <w:sz w:val="22"/>
          <w:szCs w:val="22"/>
        </w:rPr>
      </w:pPr>
    </w:p>
    <w:p>
      <w:pPr>
        <w:pStyle w:val="Default"/>
        <w:spacing w:before="0" w:line="240" w:lineRule="auto"/>
        <w:jc w:val="center"/>
        <w:rPr>
          <w:rFonts w:ascii="Arial" w:hAnsi="Arial"/>
          <w:sz w:val="22"/>
          <w:szCs w:val="22"/>
        </w:rPr>
      </w:pPr>
    </w:p>
    <w:p>
      <w:pPr>
        <w:pStyle w:val="Default"/>
        <w:spacing w:before="0" w:line="240" w:lineRule="auto"/>
        <w:jc w:val="center"/>
        <w:rPr>
          <w:rFonts w:ascii="Arial" w:hAnsi="Arial"/>
          <w:sz w:val="22"/>
          <w:szCs w:val="22"/>
        </w:rPr>
      </w:pPr>
    </w:p>
    <w:p>
      <w:pPr>
        <w:pStyle w:val="Default"/>
        <w:spacing w:before="0" w:line="24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Fondist tehtavate v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ä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ljamaksete </w:t>
      </w:r>
      <w:r>
        <w:rPr>
          <w:rFonts w:ascii="Arial" w:hAnsi="Arial"/>
          <w:b w:val="1"/>
          <w:bCs w:val="1"/>
          <w:sz w:val="22"/>
          <w:szCs w:val="22"/>
          <w:rtl w:val="0"/>
        </w:rPr>
        <w:t>turvalisus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Kinnitatud Hille T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navsuu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hiravifondi Kingitud Elu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ukogu poolt 04.03.2025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br w:type="textWrapping"/>
        <w:br w:type="textWrapping"/>
        <w:br w:type="textWrapping"/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 xml:space="preserve">Fondist </w:t>
      </w:r>
      <w:r>
        <w:rPr>
          <w:rFonts w:ascii="Arial" w:hAnsi="Arial"/>
          <w:sz w:val="22"/>
          <w:szCs w:val="22"/>
          <w:rtl w:val="0"/>
        </w:rPr>
        <w:t>tehtavate v</w:t>
      </w:r>
      <w:r>
        <w:rPr>
          <w:rFonts w:ascii="Arial" w:hAnsi="Arial" w:hint="default"/>
          <w:sz w:val="22"/>
          <w:szCs w:val="22"/>
          <w:rtl w:val="0"/>
        </w:rPr>
        <w:t>ä</w:t>
      </w:r>
      <w:r>
        <w:rPr>
          <w:rFonts w:ascii="Arial" w:hAnsi="Arial"/>
          <w:sz w:val="22"/>
          <w:szCs w:val="22"/>
          <w:rtl w:val="0"/>
        </w:rPr>
        <w:t>ljamaksete kontroll on</w:t>
      </w:r>
      <w:r>
        <w:rPr>
          <w:rFonts w:ascii="Arial" w:hAnsi="Arial"/>
          <w:sz w:val="22"/>
          <w:szCs w:val="22"/>
          <w:rtl w:val="0"/>
          <w:lang w:val="en-US"/>
        </w:rPr>
        <w:t xml:space="preserve"> kaheksaastmeline: </w:t>
      </w: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1. Fond toetab t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endusp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hist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hiravi. Fond ei toeta muid raviga seotud kulusid. K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ik Fondist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ljuvad maksed on kas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hiravimite ostud ehk p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hitegevus v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 xml:space="preserve">i kulud Fondi </w:t>
      </w:r>
      <w:r>
        <w:rPr>
          <w:rFonts w:ascii="Arial" w:hAnsi="Arial" w:hint="default"/>
          <w:sz w:val="22"/>
          <w:szCs w:val="22"/>
          <w:rtl w:val="0"/>
          <w:lang w:val="en-US"/>
        </w:rPr>
        <w:t>ü</w:t>
      </w:r>
      <w:r>
        <w:rPr>
          <w:rFonts w:ascii="Arial" w:hAnsi="Arial"/>
          <w:sz w:val="22"/>
          <w:szCs w:val="22"/>
          <w:rtl w:val="0"/>
          <w:lang w:val="en-US"/>
        </w:rPr>
        <w:t>lalpidamiseks ehk p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hitegevusega kaasnev kulu.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2. Abivajaja taotlustega peab kaasnema kaaskiri vastava eriala p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 xml:space="preserve">devusega arstilt.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3. K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ik Fondist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lja makstavad toetused peavad saama heakskiidu Fondi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ukogu koosseisu kuuluvatelt onkoloogidelt/hematoloogidelt. Kui Fondi poole p</w:t>
      </w:r>
      <w:r>
        <w:rPr>
          <w:rFonts w:ascii="Arial" w:hAnsi="Arial" w:hint="default"/>
          <w:sz w:val="22"/>
          <w:szCs w:val="22"/>
          <w:rtl w:val="0"/>
          <w:lang w:val="en-US"/>
        </w:rPr>
        <w:t>öö</w:t>
      </w:r>
      <w:r>
        <w:rPr>
          <w:rFonts w:ascii="Arial" w:hAnsi="Arial"/>
          <w:sz w:val="22"/>
          <w:szCs w:val="22"/>
          <w:rtl w:val="0"/>
          <w:lang w:val="en-US"/>
        </w:rPr>
        <w:t>rdub patsient, kelle raviarst on Fondi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ukogu liige, ei osale see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 xml:space="preserve">ukogu liige konkreetse taotluse otsustusprotsessis.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4. Fond ei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ljasta abivajajatele raha. Fond tasub apteegi poolt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 xml:space="preserve">ljastatud ravimiarved.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5. Fondi toetused on l</w:t>
      </w:r>
      <w:r>
        <w:rPr>
          <w:rFonts w:ascii="Arial" w:hAnsi="Arial" w:hint="default"/>
          <w:sz w:val="22"/>
          <w:szCs w:val="22"/>
          <w:rtl w:val="0"/>
          <w:lang w:val="en-US"/>
        </w:rPr>
        <w:t>ü</w:t>
      </w:r>
      <w:r>
        <w:rPr>
          <w:rFonts w:ascii="Arial" w:hAnsi="Arial"/>
          <w:sz w:val="22"/>
          <w:szCs w:val="22"/>
          <w:rtl w:val="0"/>
          <w:lang w:val="en-US"/>
        </w:rPr>
        <w:t>hiajalised: enamasti 2-3 kuuks korraga. Kui ravi kestab kauem, tuleb abivajajal esitada fondile korduv taotlus koos uue kaaskirjaga.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6. Fondi raamatupidamise eest hoolitseb audiitorettev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te Ernst &amp; Young. Raamatupidajad j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lgivad ka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 xml:space="preserve">ljamaksete vastavust Fondi ravimiostude garantiikirjadele.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7. Pangas vajavad k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ik 10 000 eurost suuremad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ljamaksed kahte Fondi t</w:t>
      </w:r>
      <w:r>
        <w:rPr>
          <w:rFonts w:ascii="Arial" w:hAnsi="Arial" w:hint="default"/>
          <w:sz w:val="22"/>
          <w:szCs w:val="22"/>
          <w:rtl w:val="0"/>
          <w:lang w:val="en-US"/>
        </w:rPr>
        <w:t>öö</w:t>
      </w:r>
      <w:r>
        <w:rPr>
          <w:rFonts w:ascii="Arial" w:hAnsi="Arial"/>
          <w:sz w:val="22"/>
          <w:szCs w:val="22"/>
          <w:rtl w:val="0"/>
          <w:lang w:val="en-US"/>
        </w:rPr>
        <w:t xml:space="preserve">taja allkirja.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8. Igal aastal l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bib Fond t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 xml:space="preserve">iemahulise vabatahtliku audiitorkontrolli. Aastatel 2020-2024 on Fondi auditeerinud Grant Thornton.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br w:type="textWrapping"/>
        <w:br w:type="textWrapping"/>
        <w:br w:type="textWrapping"/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Allkirjastatud digitaalselt: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Erik Sakkov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pt-PT"/>
        </w:rPr>
        <w:t>õ</w:t>
      </w:r>
      <w:r>
        <w:rPr>
          <w:rFonts w:ascii="Arial" w:hAnsi="Arial"/>
          <w:sz w:val="22"/>
          <w:szCs w:val="22"/>
          <w:rtl w:val="0"/>
        </w:rPr>
        <w:t>ukogu esimees</w:t>
      </w:r>
      <w:r>
        <w:rPr>
          <w:rFonts w:ascii="Calibri" w:cs="Calibri" w:hAnsi="Calibri" w:eastAsia="Calibri"/>
          <w:sz w:val="20"/>
          <w:szCs w:val="20"/>
        </w:rPr>
        <w:br w:type="textWrapping"/>
        <w:br w:type="textWrapping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